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0742" w14:textId="5B01A513" w:rsidR="00D036CB" w:rsidRPr="00527EFC" w:rsidRDefault="00403850" w:rsidP="00D036CB">
      <w:pPr>
        <w:jc w:val="right"/>
        <w:rPr>
          <w:bCs/>
        </w:rPr>
      </w:pPr>
      <w:bookmarkStart w:id="0" w:name="_GoBack"/>
      <w:bookmarkEnd w:id="0"/>
      <w:r w:rsidRPr="00403850">
        <w:rPr>
          <w:bCs/>
        </w:rPr>
        <w:t xml:space="preserve"> </w:t>
      </w:r>
      <w:r w:rsidR="00D036CB" w:rsidRPr="00527EFC">
        <w:rPr>
          <w:bCs/>
        </w:rPr>
        <w:t>УТВЕРЖДЕН</w:t>
      </w:r>
    </w:p>
    <w:p w14:paraId="541B3243" w14:textId="18F0E8D2" w:rsidR="00D036CB" w:rsidRPr="00527EFC" w:rsidRDefault="00D036CB" w:rsidP="00D036CB">
      <w:pPr>
        <w:jc w:val="right"/>
        <w:rPr>
          <w:bCs/>
        </w:rPr>
      </w:pPr>
      <w:r w:rsidRPr="00527EFC">
        <w:rPr>
          <w:bCs/>
        </w:rPr>
        <w:t>Советом директоров АО «ТЭК-Торг»</w:t>
      </w:r>
    </w:p>
    <w:p w14:paraId="32641287" w14:textId="746FA3BB" w:rsidR="00D036CB" w:rsidRDefault="00D036CB" w:rsidP="00D036CB">
      <w:pPr>
        <w:jc w:val="right"/>
        <w:rPr>
          <w:bCs/>
        </w:rPr>
      </w:pPr>
      <w:r w:rsidRPr="00F14AC7">
        <w:rPr>
          <w:bCs/>
        </w:rPr>
        <w:t xml:space="preserve">Протокол № </w:t>
      </w:r>
      <w:r w:rsidR="00355283">
        <w:rPr>
          <w:bCs/>
        </w:rPr>
        <w:t>25</w:t>
      </w:r>
      <w:r w:rsidRPr="00F14AC7">
        <w:rPr>
          <w:bCs/>
        </w:rPr>
        <w:t xml:space="preserve"> от «</w:t>
      </w:r>
      <w:r w:rsidR="00355283">
        <w:rPr>
          <w:bCs/>
        </w:rPr>
        <w:t>28</w:t>
      </w:r>
      <w:r w:rsidRPr="00F14AC7">
        <w:rPr>
          <w:bCs/>
        </w:rPr>
        <w:t>»</w:t>
      </w:r>
      <w:r>
        <w:rPr>
          <w:bCs/>
        </w:rPr>
        <w:t xml:space="preserve"> </w:t>
      </w:r>
      <w:r w:rsidR="00355283">
        <w:rPr>
          <w:bCs/>
        </w:rPr>
        <w:t xml:space="preserve">января </w:t>
      </w:r>
      <w:r w:rsidRPr="00F14AC7">
        <w:rPr>
          <w:bCs/>
        </w:rPr>
        <w:t>201</w:t>
      </w:r>
      <w:r w:rsidR="00986287">
        <w:rPr>
          <w:bCs/>
        </w:rPr>
        <w:t>9</w:t>
      </w:r>
      <w:r w:rsidRPr="00F14AC7">
        <w:rPr>
          <w:bCs/>
        </w:rPr>
        <w:t xml:space="preserve"> г.</w:t>
      </w:r>
    </w:p>
    <w:p w14:paraId="442784E2" w14:textId="77777777" w:rsidR="00D036CB" w:rsidRPr="00527EFC" w:rsidRDefault="00D036CB" w:rsidP="00D036CB">
      <w:pPr>
        <w:jc w:val="right"/>
        <w:rPr>
          <w:bCs/>
        </w:rPr>
      </w:pPr>
    </w:p>
    <w:p w14:paraId="3B21A2A6" w14:textId="710BE8D6" w:rsidR="00D036CB" w:rsidRDefault="00D036CB" w:rsidP="00D036CB">
      <w:pPr>
        <w:spacing w:after="240"/>
        <w:jc w:val="center"/>
        <w:rPr>
          <w:b/>
        </w:rPr>
      </w:pPr>
      <w:r w:rsidRPr="00527EFC">
        <w:rPr>
          <w:b/>
        </w:rPr>
        <w:t>Тарифный план АО «ТЭК-Торг» в</w:t>
      </w:r>
      <w:r>
        <w:rPr>
          <w:b/>
        </w:rPr>
        <w:t xml:space="preserve"> Секции </w:t>
      </w:r>
      <w:r w:rsidRPr="001863E4">
        <w:rPr>
          <w:b/>
        </w:rPr>
        <w:t>«Закупочные процедуры</w:t>
      </w:r>
      <w:r>
        <w:rPr>
          <w:b/>
        </w:rPr>
        <w:t xml:space="preserve"> «Интер РАО»</w:t>
      </w:r>
      <w:r w:rsidRPr="00527EFC">
        <w:rPr>
          <w:b/>
        </w:rPr>
        <w:t xml:space="preserve"> для Участника</w:t>
      </w:r>
      <w:r>
        <w:rPr>
          <w:b/>
        </w:rPr>
        <w:t xml:space="preserve"> и Организатора</w:t>
      </w:r>
    </w:p>
    <w:p w14:paraId="14699E43" w14:textId="70F0561F" w:rsidR="00D036CB" w:rsidRDefault="00D036CB" w:rsidP="00D036CB">
      <w:pPr>
        <w:pStyle w:val="a3"/>
        <w:numPr>
          <w:ilvl w:val="0"/>
          <w:numId w:val="1"/>
        </w:numPr>
        <w:jc w:val="both"/>
      </w:pPr>
      <w:r w:rsidRPr="00527EFC">
        <w:t>В Тарифном плане используются термины и определения в соответствии с Регламентом работы на электронной торговой площадке АО «ТЭК-Торг» в Секции</w:t>
      </w:r>
      <w:r>
        <w:t xml:space="preserve"> </w:t>
      </w:r>
      <w:r w:rsidRPr="001863E4">
        <w:t>«Закупочные процедуры</w:t>
      </w:r>
      <w:r>
        <w:t xml:space="preserve"> «Интер РАО»</w:t>
      </w:r>
      <w:r w:rsidRPr="00527EFC">
        <w:t>, если иное не определено в Тарифном плане.</w:t>
      </w:r>
    </w:p>
    <w:tbl>
      <w:tblPr>
        <w:tblW w:w="15025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118"/>
        <w:gridCol w:w="568"/>
        <w:gridCol w:w="2551"/>
        <w:gridCol w:w="1276"/>
        <w:gridCol w:w="1842"/>
        <w:gridCol w:w="3119"/>
      </w:tblGrid>
      <w:tr w:rsidR="00D036CB" w:rsidRPr="00527EFC" w14:paraId="36D6062A" w14:textId="77777777" w:rsidTr="00B32BA0">
        <w:trPr>
          <w:trHeight w:val="90"/>
        </w:trPr>
        <w:tc>
          <w:tcPr>
            <w:tcW w:w="1502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2FA8" w14:textId="77777777" w:rsidR="00D036CB" w:rsidRPr="00527EFC" w:rsidRDefault="00D036CB" w:rsidP="00B32BA0">
            <w:pPr>
              <w:ind w:firstLine="142"/>
              <w:jc w:val="center"/>
            </w:pPr>
            <w:r>
              <w:t>Для Организатора</w:t>
            </w:r>
          </w:p>
        </w:tc>
      </w:tr>
      <w:tr w:rsidR="00D036CB" w:rsidRPr="00527EFC" w14:paraId="74E176EB" w14:textId="77777777" w:rsidTr="00986287">
        <w:trPr>
          <w:trHeight w:val="1020"/>
        </w:trPr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B753B2" w14:textId="77777777" w:rsidR="00D036CB" w:rsidRPr="00527EFC" w:rsidRDefault="00D036CB" w:rsidP="00B32BA0">
            <w:pPr>
              <w:jc w:val="center"/>
              <w:rPr>
                <w:b/>
                <w:bCs/>
              </w:rPr>
            </w:pPr>
            <w:r w:rsidRPr="00527EFC">
              <w:rPr>
                <w:b/>
                <w:bCs/>
              </w:rPr>
              <w:t>Наименование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2B6B8" w14:textId="0D7A2169" w:rsidR="00D036CB" w:rsidRDefault="00D036CB" w:rsidP="00986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</w:t>
            </w:r>
            <w:r w:rsidRPr="00527EFC">
              <w:rPr>
                <w:b/>
                <w:bCs/>
              </w:rPr>
              <w:t>в рублях</w:t>
            </w:r>
          </w:p>
          <w:p w14:paraId="0FF88FA2" w14:textId="1C719BF7" w:rsidR="00D036CB" w:rsidRPr="00527EFC" w:rsidRDefault="00D036CB" w:rsidP="00986287">
            <w:pPr>
              <w:jc w:val="center"/>
              <w:rPr>
                <w:b/>
                <w:bCs/>
              </w:rPr>
            </w:pPr>
            <w:r w:rsidRPr="00527EFC">
              <w:rPr>
                <w:b/>
                <w:bCs/>
              </w:rPr>
              <w:t>с учетом НДС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4F010" w14:textId="0E2D9F2A" w:rsidR="00D036CB" w:rsidRDefault="00D036CB" w:rsidP="00986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публикуемых закупочных процедур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A5667" w14:textId="77777777" w:rsidR="00D036CB" w:rsidRPr="00715680" w:rsidRDefault="00D036CB" w:rsidP="00986287">
            <w:pPr>
              <w:jc w:val="center"/>
            </w:pPr>
            <w:r w:rsidRPr="00527EFC">
              <w:rPr>
                <w:b/>
                <w:bCs/>
              </w:rPr>
              <w:t xml:space="preserve">Срок </w:t>
            </w:r>
            <w:r>
              <w:rPr>
                <w:b/>
                <w:bCs/>
              </w:rPr>
              <w:t>д</w:t>
            </w:r>
            <w:r w:rsidRPr="00527EFC">
              <w:rPr>
                <w:b/>
                <w:bCs/>
              </w:rPr>
              <w:t>оступа на ЭТП</w:t>
            </w:r>
            <w:r>
              <w:rPr>
                <w:b/>
                <w:bCs/>
              </w:rPr>
              <w:t xml:space="preserve"> с ролью «Организатор закупочных процедур»</w:t>
            </w:r>
          </w:p>
        </w:tc>
      </w:tr>
      <w:tr w:rsidR="00D036CB" w:rsidRPr="00527EFC" w14:paraId="3B41AB81" w14:textId="77777777" w:rsidTr="00986287">
        <w:trPr>
          <w:trHeight w:val="41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C1CD8" w14:textId="77777777" w:rsidR="00D036CB" w:rsidRPr="00527EFC" w:rsidRDefault="00D036CB" w:rsidP="00986287">
            <w:pPr>
              <w:jc w:val="center"/>
            </w:pPr>
            <w:r>
              <w:t>«Организатор»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B4D87" w14:textId="77777777" w:rsidR="00D036CB" w:rsidRPr="00527EFC" w:rsidRDefault="00D036CB" w:rsidP="00986287">
            <w:pPr>
              <w:ind w:firstLine="142"/>
              <w:jc w:val="center"/>
            </w:pPr>
            <w:r>
              <w:t>14 130 руб.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A23B0" w14:textId="77777777" w:rsidR="00D036CB" w:rsidRPr="00527EFC" w:rsidRDefault="00D036CB" w:rsidP="00986287">
            <w:pPr>
              <w:ind w:firstLine="142"/>
              <w:jc w:val="center"/>
            </w:pPr>
            <w:r w:rsidRPr="00527EFC">
              <w:t>Без ограничений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7E323" w14:textId="77777777" w:rsidR="00D036CB" w:rsidRPr="00527EFC" w:rsidRDefault="00D036CB" w:rsidP="00986287">
            <w:pPr>
              <w:ind w:firstLine="142"/>
              <w:jc w:val="center"/>
            </w:pPr>
            <w:r w:rsidRPr="00527EFC">
              <w:t>12 месяцев</w:t>
            </w:r>
          </w:p>
        </w:tc>
      </w:tr>
      <w:tr w:rsidR="00D036CB" w:rsidRPr="00527EFC" w14:paraId="50D46295" w14:textId="77777777" w:rsidTr="00B32BA0">
        <w:trPr>
          <w:trHeight w:val="90"/>
        </w:trPr>
        <w:tc>
          <w:tcPr>
            <w:tcW w:w="1502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3C04" w14:textId="77777777" w:rsidR="00D036CB" w:rsidRPr="00527EFC" w:rsidRDefault="00D036CB" w:rsidP="00B32BA0">
            <w:pPr>
              <w:ind w:firstLine="142"/>
              <w:jc w:val="center"/>
            </w:pPr>
            <w:r>
              <w:t>Для Участника</w:t>
            </w:r>
          </w:p>
        </w:tc>
      </w:tr>
      <w:tr w:rsidR="00D036CB" w:rsidRPr="00527EFC" w14:paraId="7BFD9F91" w14:textId="77777777" w:rsidTr="00986287">
        <w:trPr>
          <w:trHeight w:val="636"/>
        </w:trPr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D6D500" w14:textId="77777777" w:rsidR="00D036CB" w:rsidRPr="00527EFC" w:rsidRDefault="00D036CB" w:rsidP="00B32BA0">
            <w:pPr>
              <w:jc w:val="center"/>
              <w:rPr>
                <w:b/>
                <w:bCs/>
              </w:rPr>
            </w:pPr>
            <w:r w:rsidRPr="00527EFC">
              <w:rPr>
                <w:b/>
                <w:bCs/>
              </w:rPr>
              <w:t>Наименование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67044" w14:textId="153BB6A2" w:rsidR="00D036CB" w:rsidRPr="005B1120" w:rsidRDefault="00986287" w:rsidP="00986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Параметры тарифа</w:t>
            </w:r>
          </w:p>
        </w:tc>
      </w:tr>
      <w:tr w:rsidR="00986287" w:rsidRPr="00527EFC" w14:paraId="740C1005" w14:textId="77777777" w:rsidTr="00B41214">
        <w:trPr>
          <w:trHeight w:val="412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A6FC1" w14:textId="36702233" w:rsidR="00986287" w:rsidRDefault="00986287" w:rsidP="00986287">
            <w:pPr>
              <w:jc w:val="center"/>
            </w:pPr>
            <w:r w:rsidRPr="00986287">
              <w:t>«Победитель»</w:t>
            </w:r>
          </w:p>
        </w:tc>
        <w:tc>
          <w:tcPr>
            <w:tcW w:w="12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E3175" w14:textId="7DEB3124" w:rsidR="00986287" w:rsidRPr="00986287" w:rsidRDefault="00986287" w:rsidP="00B32BA0">
            <w:pPr>
              <w:jc w:val="center"/>
              <w:rPr>
                <w:b/>
              </w:rPr>
            </w:pPr>
            <w:r w:rsidRPr="00986287">
              <w:rPr>
                <w:b/>
              </w:rPr>
              <w:t>Сбор с Участника закупочной процедуры за содействие в заключении договора в случае, если Организатором принято решение о заключении с Участником договора, в рублях, с учетом НДС</w:t>
            </w:r>
          </w:p>
        </w:tc>
      </w:tr>
      <w:tr w:rsidR="00986287" w:rsidRPr="00527EFC" w14:paraId="1D246F10" w14:textId="77777777" w:rsidTr="00986287">
        <w:trPr>
          <w:trHeight w:val="412"/>
        </w:trPr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DF66BA" w14:textId="653E4ED2" w:rsidR="00986287" w:rsidRPr="00527EFC" w:rsidRDefault="00986287" w:rsidP="00B32BA0">
            <w:pPr>
              <w:jc w:val="center"/>
            </w:pPr>
          </w:p>
        </w:tc>
        <w:tc>
          <w:tcPr>
            <w:tcW w:w="12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4BA85" w14:textId="5279BD88" w:rsidR="00986287" w:rsidRPr="00527EFC" w:rsidRDefault="00986287" w:rsidP="00B32BA0">
            <w:pPr>
              <w:jc w:val="center"/>
            </w:pPr>
            <w:r>
              <w:t>1% от цены заявки, указанной в протоколе цепочки собственников, но не более 50 000 руб. *</w:t>
            </w:r>
          </w:p>
        </w:tc>
      </w:tr>
      <w:tr w:rsidR="00986287" w:rsidRPr="00527EFC" w14:paraId="153257E5" w14:textId="77777777" w:rsidTr="00986287">
        <w:trPr>
          <w:trHeight w:val="428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1C417E" w14:textId="36E8BD39" w:rsidR="00986287" w:rsidRDefault="00986287" w:rsidP="00986287">
            <w:pPr>
              <w:jc w:val="center"/>
            </w:pPr>
            <w:r>
              <w:t>«Партнёрский»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02A0B" w14:textId="77777777" w:rsidR="00986287" w:rsidRPr="00986287" w:rsidRDefault="00986287" w:rsidP="00986287">
            <w:pPr>
              <w:jc w:val="center"/>
              <w:rPr>
                <w:b/>
              </w:rPr>
            </w:pPr>
            <w:r w:rsidRPr="00986287">
              <w:rPr>
                <w:b/>
              </w:rPr>
              <w:t>Сумма,</w:t>
            </w:r>
          </w:p>
          <w:p w14:paraId="4579BC71" w14:textId="77777777" w:rsidR="00986287" w:rsidRPr="00986287" w:rsidRDefault="00986287" w:rsidP="00986287">
            <w:pPr>
              <w:jc w:val="center"/>
              <w:rPr>
                <w:b/>
              </w:rPr>
            </w:pPr>
            <w:r w:rsidRPr="00986287">
              <w:rPr>
                <w:b/>
              </w:rPr>
              <w:t>в рублях с учетом</w:t>
            </w:r>
          </w:p>
          <w:p w14:paraId="20FCCB81" w14:textId="6FF4C68A" w:rsidR="00986287" w:rsidRPr="00986287" w:rsidRDefault="00986287" w:rsidP="00986287">
            <w:pPr>
              <w:jc w:val="center"/>
              <w:rPr>
                <w:b/>
              </w:rPr>
            </w:pPr>
            <w:r w:rsidRPr="00986287">
              <w:rPr>
                <w:b/>
              </w:rPr>
              <w:t>НДС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4A84F" w14:textId="77777777" w:rsidR="00986287" w:rsidRPr="00986287" w:rsidRDefault="00986287" w:rsidP="00986287">
            <w:pPr>
              <w:jc w:val="center"/>
              <w:rPr>
                <w:b/>
              </w:rPr>
            </w:pPr>
            <w:r w:rsidRPr="00986287">
              <w:rPr>
                <w:b/>
              </w:rPr>
              <w:t>Количество</w:t>
            </w:r>
          </w:p>
          <w:p w14:paraId="5379B5B1" w14:textId="364378B0" w:rsidR="00986287" w:rsidRPr="00986287" w:rsidRDefault="00986287" w:rsidP="00986287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986287">
              <w:rPr>
                <w:b/>
              </w:rPr>
              <w:t>акупочных процедур, в</w:t>
            </w:r>
          </w:p>
          <w:p w14:paraId="7F3C1CB7" w14:textId="77777777" w:rsidR="00986287" w:rsidRPr="00986287" w:rsidRDefault="00986287" w:rsidP="00986287">
            <w:pPr>
              <w:jc w:val="center"/>
              <w:rPr>
                <w:b/>
              </w:rPr>
            </w:pPr>
            <w:r w:rsidRPr="00986287">
              <w:rPr>
                <w:b/>
              </w:rPr>
              <w:t>которых может</w:t>
            </w:r>
          </w:p>
          <w:p w14:paraId="1D17E038" w14:textId="40269B61" w:rsidR="00986287" w:rsidRPr="00986287" w:rsidRDefault="00986287" w:rsidP="00986287">
            <w:pPr>
              <w:jc w:val="center"/>
              <w:rPr>
                <w:b/>
              </w:rPr>
            </w:pPr>
            <w:r w:rsidRPr="00986287">
              <w:rPr>
                <w:b/>
              </w:rPr>
              <w:t>участвовать Участник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B8DA3" w14:textId="3A2FF678" w:rsidR="00986287" w:rsidRPr="00986287" w:rsidRDefault="00986287" w:rsidP="00986287">
            <w:pPr>
              <w:jc w:val="center"/>
              <w:rPr>
                <w:b/>
              </w:rPr>
            </w:pPr>
            <w:r w:rsidRPr="00986287">
              <w:rPr>
                <w:b/>
              </w:rPr>
              <w:t xml:space="preserve">Срок </w:t>
            </w:r>
            <w:r>
              <w:rPr>
                <w:b/>
              </w:rPr>
              <w:t>д</w:t>
            </w:r>
            <w:r w:rsidRPr="00986287">
              <w:rPr>
                <w:b/>
              </w:rPr>
              <w:t>оступа на ЭТП к</w:t>
            </w:r>
          </w:p>
          <w:p w14:paraId="38017B58" w14:textId="2C03F1B0" w:rsidR="00986287" w:rsidRPr="00986287" w:rsidRDefault="00986287" w:rsidP="00986287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986287">
              <w:rPr>
                <w:b/>
              </w:rPr>
              <w:t>акупочным процедурам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DD97F" w14:textId="77777777" w:rsidR="00986287" w:rsidRPr="00986287" w:rsidRDefault="00986287" w:rsidP="00986287">
            <w:pPr>
              <w:jc w:val="center"/>
              <w:rPr>
                <w:b/>
              </w:rPr>
            </w:pPr>
            <w:r w:rsidRPr="00986287">
              <w:rPr>
                <w:b/>
              </w:rPr>
              <w:t>Сбор</w:t>
            </w:r>
          </w:p>
          <w:p w14:paraId="7DEDD82A" w14:textId="77777777" w:rsidR="00986287" w:rsidRPr="00986287" w:rsidRDefault="00986287" w:rsidP="00986287">
            <w:pPr>
              <w:jc w:val="center"/>
              <w:rPr>
                <w:b/>
              </w:rPr>
            </w:pPr>
            <w:r w:rsidRPr="00986287">
              <w:rPr>
                <w:b/>
              </w:rPr>
              <w:t>с победителя Закупочной процедуры,</w:t>
            </w:r>
          </w:p>
          <w:p w14:paraId="030941EA" w14:textId="288ACD5A" w:rsidR="00986287" w:rsidRPr="00986287" w:rsidRDefault="00986287" w:rsidP="00986287">
            <w:pPr>
              <w:jc w:val="center"/>
              <w:rPr>
                <w:b/>
              </w:rPr>
            </w:pPr>
            <w:r w:rsidRPr="00986287">
              <w:rPr>
                <w:b/>
              </w:rPr>
              <w:t>в рублях с учетом НДС</w:t>
            </w:r>
          </w:p>
        </w:tc>
      </w:tr>
      <w:tr w:rsidR="00986287" w:rsidRPr="00527EFC" w14:paraId="413B652E" w14:textId="77777777" w:rsidTr="00986287">
        <w:trPr>
          <w:trHeight w:val="427"/>
        </w:trPr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282146" w14:textId="77777777" w:rsidR="00986287" w:rsidRDefault="00986287" w:rsidP="00986287">
            <w:pPr>
              <w:jc w:val="center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3A3AAB" w14:textId="7A59DD8C" w:rsidR="00986287" w:rsidRDefault="00986287" w:rsidP="00B32BA0">
            <w:pPr>
              <w:jc w:val="center"/>
            </w:pPr>
            <w:r>
              <w:t>7</w:t>
            </w:r>
            <w:r w:rsidR="00CE3EAB">
              <w:t>4</w:t>
            </w:r>
            <w:r>
              <w:t xml:space="preserve"> </w:t>
            </w:r>
            <w:r w:rsidR="00CE3EAB">
              <w:t>9</w:t>
            </w:r>
            <w:r>
              <w:t>00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E9AF8D" w14:textId="626B3EF1" w:rsidR="00986287" w:rsidRDefault="00986287" w:rsidP="00B32BA0">
            <w:pPr>
              <w:jc w:val="center"/>
            </w:pPr>
            <w:r>
              <w:t>Без ограничений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0090C3" w14:textId="678D465A" w:rsidR="00986287" w:rsidRDefault="00986287" w:rsidP="00B32BA0">
            <w:pPr>
              <w:jc w:val="center"/>
            </w:pPr>
            <w:r>
              <w:t>12 месяцев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91461B" w14:textId="774818E4" w:rsidR="00986287" w:rsidRDefault="00986287" w:rsidP="00B32BA0">
            <w:pPr>
              <w:jc w:val="center"/>
            </w:pPr>
            <w:r>
              <w:t>Не взимается</w:t>
            </w:r>
          </w:p>
        </w:tc>
      </w:tr>
    </w:tbl>
    <w:p w14:paraId="19C57E20" w14:textId="63FB40A2" w:rsidR="00D036CB" w:rsidRDefault="00D036CB" w:rsidP="00D036CB">
      <w:pPr>
        <w:ind w:left="426"/>
        <w:jc w:val="both"/>
      </w:pPr>
      <w:r>
        <w:t>* При участии в закупочной процедуре Участник обязан предоставить Оператору о</w:t>
      </w:r>
      <w:r w:rsidRPr="00AC1ABD">
        <w:t xml:space="preserve">беспечение исполнения обязательств Участника по оплате </w:t>
      </w:r>
      <w:r>
        <w:t>с</w:t>
      </w:r>
      <w:r w:rsidRPr="00AC1ABD">
        <w:t>бора</w:t>
      </w:r>
      <w:r>
        <w:t xml:space="preserve"> в соответствии с положениями Регламента. При подаче заявки на участие в закупочной процедуре (по каждому лоту) на лицевом счете Участника блокируются денежные средства в размере </w:t>
      </w:r>
      <w:r w:rsidR="00A912B5">
        <w:t xml:space="preserve">1 </w:t>
      </w:r>
      <w:r>
        <w:t>% от суммы заявки Участника, но не более 50 000 рублей.</w:t>
      </w:r>
    </w:p>
    <w:p w14:paraId="1575A6F5" w14:textId="38EB7AEB" w:rsidR="00522C63" w:rsidRDefault="00D036CB" w:rsidP="00986287">
      <w:pPr>
        <w:ind w:left="426" w:right="82"/>
        <w:jc w:val="both"/>
      </w:pPr>
      <w:r>
        <w:t>Списание денежных средств с лицевого счета Участника, в отношении которого принято решение о заключении договора, происходит в течение одного рабочего дня после размещения протокола цепочки собственников Организатором, в котором принято решение о заключении с Участником договора. Оплата</w:t>
      </w:r>
      <w:r w:rsidRPr="00D57BEC">
        <w:t xml:space="preserve"> </w:t>
      </w:r>
      <w:r>
        <w:t>Сбора осуществляется за счет заблокированных денежных средств, при этом в отношении суммы, составляющей разницу между заблокированной суммой и суммой Сбора, блокирование прекращается. Разблокировка денежных средств Участников,</w:t>
      </w:r>
      <w:r w:rsidRPr="00657055">
        <w:t xml:space="preserve"> </w:t>
      </w:r>
      <w:r>
        <w:t>с которыми по результатам закупочной процедуры не принято решение о заключении договора происходит в течение одного рабочего дня с момента публикации протокола цепочки собственников, либо в момент отклонения Участника от участия в закупочной процедуре на этапе рассмотрения заявок.</w:t>
      </w:r>
    </w:p>
    <w:p w14:paraId="3CD74AB6" w14:textId="2A59EA95" w:rsidR="00A912B5" w:rsidRPr="00A912B5" w:rsidRDefault="00A912B5" w:rsidP="00A912B5"/>
    <w:p w14:paraId="56890E06" w14:textId="62EBE959" w:rsidR="00A912B5" w:rsidRDefault="00A912B5" w:rsidP="00A912B5"/>
    <w:tbl>
      <w:tblPr>
        <w:tblW w:w="14956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756"/>
      </w:tblGrid>
      <w:tr w:rsidR="00B64AD4" w:rsidRPr="00433432" w14:paraId="463B364F" w14:textId="6D59D3C2" w:rsidTr="0096379B">
        <w:trPr>
          <w:trHeight w:val="302"/>
        </w:trPr>
        <w:tc>
          <w:tcPr>
            <w:tcW w:w="14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DA380" w14:textId="0213C7B8" w:rsidR="00B64AD4" w:rsidRDefault="00B64AD4" w:rsidP="00A912B5">
            <w:pPr>
              <w:ind w:firstLine="142"/>
              <w:jc w:val="center"/>
            </w:pPr>
            <w:r>
              <w:t>Для Участника, принимающего участия в закупках только среди субъектов МСП</w:t>
            </w:r>
          </w:p>
        </w:tc>
      </w:tr>
      <w:tr w:rsidR="00B64AD4" w:rsidRPr="00433432" w14:paraId="2F3318FB" w14:textId="4E16403D" w:rsidTr="00BF5D09">
        <w:trPr>
          <w:trHeight w:val="516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B2FF98" w14:textId="77777777" w:rsidR="00B64AD4" w:rsidRPr="00433432" w:rsidRDefault="00B64AD4" w:rsidP="00B750F7">
            <w:pPr>
              <w:ind w:firstLine="142"/>
              <w:jc w:val="center"/>
            </w:pPr>
            <w:r w:rsidRPr="00B750F7">
              <w:t>Наименование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3CBA" w14:textId="60AC1EC9" w:rsidR="00B64AD4" w:rsidRPr="00B750F7" w:rsidRDefault="00B64AD4" w:rsidP="00B750F7">
            <w:pPr>
              <w:ind w:firstLine="142"/>
              <w:jc w:val="center"/>
            </w:pPr>
            <w:r w:rsidRPr="00B750F7">
              <w:t>Параметры тарифа</w:t>
            </w:r>
          </w:p>
        </w:tc>
      </w:tr>
      <w:tr w:rsidR="00B64AD4" w:rsidRPr="00433432" w14:paraId="5405D901" w14:textId="77777777" w:rsidTr="00710A0F">
        <w:trPr>
          <w:trHeight w:val="516"/>
        </w:trPr>
        <w:tc>
          <w:tcPr>
            <w:tcW w:w="3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67D8BD" w14:textId="77777777" w:rsidR="00B64AD4" w:rsidRDefault="00B64AD4" w:rsidP="00B750F7">
            <w:pPr>
              <w:ind w:firstLine="142"/>
              <w:jc w:val="center"/>
            </w:pPr>
            <w:r>
              <w:t>«Процедура только для МСП»</w:t>
            </w:r>
          </w:p>
          <w:p w14:paraId="58544156" w14:textId="77777777" w:rsidR="00B64AD4" w:rsidRPr="00B750F7" w:rsidRDefault="00B64AD4" w:rsidP="00B750F7">
            <w:pPr>
              <w:ind w:firstLine="142"/>
              <w:jc w:val="center"/>
            </w:pP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6386" w14:textId="5FBB0FA2" w:rsidR="00B64AD4" w:rsidRPr="00403850" w:rsidRDefault="00B64AD4" w:rsidP="00B750F7">
            <w:pPr>
              <w:ind w:firstLine="142"/>
              <w:jc w:val="center"/>
            </w:pPr>
            <w:r w:rsidRPr="00B750F7">
              <w:t>Плата с лица, с которым по результатам закупки, участниками которой могут быть только субъекты МСП, заключается контракт (в том числе с лица, признанного заказчиком уклонившимся от заключения контракта)</w:t>
            </w:r>
            <w:r w:rsidR="00403850" w:rsidRPr="00403850">
              <w:t xml:space="preserve"> </w:t>
            </w:r>
          </w:p>
        </w:tc>
      </w:tr>
      <w:tr w:rsidR="00B64AD4" w:rsidRPr="00C00EF9" w14:paraId="7F74B723" w14:textId="324579DF" w:rsidTr="00C54A99">
        <w:trPr>
          <w:trHeight w:val="412"/>
        </w:trPr>
        <w:tc>
          <w:tcPr>
            <w:tcW w:w="3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448675" w14:textId="77777777" w:rsidR="00B64AD4" w:rsidRPr="00B750F7" w:rsidRDefault="00B64AD4" w:rsidP="00B750F7">
            <w:pPr>
              <w:ind w:firstLine="142"/>
              <w:jc w:val="center"/>
            </w:pP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E586" w14:textId="77777777" w:rsidR="00B64AD4" w:rsidRPr="00D91DFE" w:rsidRDefault="00B64AD4" w:rsidP="00B750F7">
            <w:pPr>
              <w:ind w:firstLine="142"/>
              <w:jc w:val="center"/>
            </w:pPr>
            <w:r w:rsidRPr="00D91DFE">
              <w:t>1 % от НМЦ контракта</w:t>
            </w:r>
          </w:p>
          <w:p w14:paraId="2E6132BC" w14:textId="5F9403B8" w:rsidR="00B64AD4" w:rsidRPr="00B64AD4" w:rsidRDefault="00B64AD4" w:rsidP="00B750F7">
            <w:pPr>
              <w:ind w:firstLine="142"/>
              <w:jc w:val="center"/>
            </w:pPr>
            <w:r w:rsidRPr="00D91DFE">
              <w:t xml:space="preserve">но не более </w:t>
            </w:r>
            <w:r>
              <w:t>2 000</w:t>
            </w:r>
            <w:r w:rsidRPr="00D91DFE">
              <w:t xml:space="preserve"> руб. (без </w:t>
            </w:r>
            <w:r>
              <w:t xml:space="preserve">учета </w:t>
            </w:r>
            <w:r w:rsidRPr="00D91DFE">
              <w:t>НДС)</w:t>
            </w:r>
          </w:p>
        </w:tc>
      </w:tr>
    </w:tbl>
    <w:p w14:paraId="3BA2C861" w14:textId="77777777" w:rsidR="00A912B5" w:rsidRPr="007A047F" w:rsidRDefault="00A912B5" w:rsidP="00A912B5">
      <w:pPr>
        <w:jc w:val="right"/>
        <w:rPr>
          <w:i/>
        </w:rPr>
      </w:pPr>
    </w:p>
    <w:p w14:paraId="6EEE0515" w14:textId="77777777" w:rsidR="00A912B5" w:rsidRDefault="00A912B5" w:rsidP="00A912B5">
      <w:pPr>
        <w:ind w:left="709"/>
        <w:jc w:val="both"/>
      </w:pPr>
      <w:r w:rsidRPr="007056DA">
        <w:t>В случае уклонения победителя электронной процедуры от заключения контракта, контракт заключается с иным лицом, плата с которого не взимается.</w:t>
      </w:r>
    </w:p>
    <w:p w14:paraId="3C45DA49" w14:textId="77777777" w:rsidR="00A912B5" w:rsidRPr="007A047F" w:rsidRDefault="00A912B5" w:rsidP="00A912B5">
      <w:pPr>
        <w:ind w:left="709"/>
        <w:jc w:val="both"/>
      </w:pPr>
    </w:p>
    <w:p w14:paraId="5ED3EC79" w14:textId="77777777" w:rsidR="00A912B5" w:rsidRDefault="00A912B5" w:rsidP="00B64AD4">
      <w:pPr>
        <w:pStyle w:val="a3"/>
        <w:ind w:left="720"/>
        <w:jc w:val="both"/>
      </w:pPr>
      <w:r>
        <w:t xml:space="preserve">Сбор с Участника закупочной процедуры за содействие в заключении договора в случае, если Организатором принято решение о заключении с Участником договора не взымается с </w:t>
      </w:r>
      <w:r w:rsidRPr="007A047F">
        <w:t>субъект</w:t>
      </w:r>
      <w:r>
        <w:t>ов</w:t>
      </w:r>
      <w:r w:rsidRPr="007A047F">
        <w:t xml:space="preserve"> МСП</w:t>
      </w:r>
      <w:r>
        <w:t>, с которыми по результатам зак</w:t>
      </w:r>
      <w:r w:rsidRPr="007A047F">
        <w:t>уп</w:t>
      </w:r>
      <w:r>
        <w:t>ок, участниками которых могут быть только субъекты</w:t>
      </w:r>
      <w:r w:rsidRPr="007A047F">
        <w:t xml:space="preserve"> </w:t>
      </w:r>
      <w:r>
        <w:t>МСП, заключается контракт</w:t>
      </w:r>
      <w:r w:rsidRPr="007A047F">
        <w:t xml:space="preserve">. </w:t>
      </w:r>
    </w:p>
    <w:p w14:paraId="0F63EE20" w14:textId="77777777" w:rsidR="00A912B5" w:rsidRPr="00A912B5" w:rsidRDefault="00A912B5" w:rsidP="00A912B5">
      <w:pPr>
        <w:ind w:firstLine="708"/>
      </w:pPr>
    </w:p>
    <w:sectPr w:rsidR="00A912B5" w:rsidRPr="00A912B5" w:rsidSect="00986287">
      <w:pgSz w:w="16838" w:h="11906" w:orient="landscape"/>
      <w:pgMar w:top="1134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273E"/>
    <w:multiLevelType w:val="hybridMultilevel"/>
    <w:tmpl w:val="D1A2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29D1"/>
    <w:multiLevelType w:val="hybridMultilevel"/>
    <w:tmpl w:val="83E8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B"/>
    <w:rsid w:val="000006F4"/>
    <w:rsid w:val="00355283"/>
    <w:rsid w:val="00403850"/>
    <w:rsid w:val="00522C63"/>
    <w:rsid w:val="008C02EB"/>
    <w:rsid w:val="0096379B"/>
    <w:rsid w:val="00984666"/>
    <w:rsid w:val="00986287"/>
    <w:rsid w:val="009D7DA9"/>
    <w:rsid w:val="00A912B5"/>
    <w:rsid w:val="00AB42A2"/>
    <w:rsid w:val="00B64AD4"/>
    <w:rsid w:val="00B750F7"/>
    <w:rsid w:val="00C63DE4"/>
    <w:rsid w:val="00CE3EAB"/>
    <w:rsid w:val="00D036CB"/>
    <w:rsid w:val="00E15F08"/>
    <w:rsid w:val="00E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D0CB"/>
  <w15:chartTrackingRefBased/>
  <w15:docId w15:val="{BB44C53A-22D3-448F-A4E8-35C6EE36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6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33DBDF886836428E5D672B342F8A35" ma:contentTypeVersion="10" ma:contentTypeDescription="Создание документа." ma:contentTypeScope="" ma:versionID="c41d556d70c511fd963008372e6afc10">
  <xsd:schema xmlns:xsd="http://www.w3.org/2001/XMLSchema" xmlns:xs="http://www.w3.org/2001/XMLSchema" xmlns:p="http://schemas.microsoft.com/office/2006/metadata/properties" xmlns:ns2="fe68ce1e-7090-443b-a36d-0f1ceec21443" xmlns:ns3="ce604ee6-28c0-4053-ad31-9d839b20ca03" targetNamespace="http://schemas.microsoft.com/office/2006/metadata/properties" ma:root="true" ma:fieldsID="7a527245f18fd3354380723c2414f33a" ns2:_="" ns3:_="">
    <xsd:import namespace="fe68ce1e-7090-443b-a36d-0f1ceec21443"/>
    <xsd:import namespace="ce604ee6-28c0-4053-ad31-9d839b20c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8ce1e-7090-443b-a36d-0f1ceec21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04ee6-28c0-4053-ad31-9d839b20c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54D1-1272-4F08-B2DA-473925C9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8ce1e-7090-443b-a36d-0f1ceec21443"/>
    <ds:schemaRef ds:uri="ce604ee6-28c0-4053-ad31-9d839b20c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BA4E9-89A4-493C-AFB0-39F23FB86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98340-68E4-4471-9FAE-16E0C2CAE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1315B-B6C0-4D80-B071-48BF37D9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Голяницкая Анастасия</dc:creator>
  <cp:keywords/>
  <dc:description/>
  <cp:lastModifiedBy>Бабкина Ярослава</cp:lastModifiedBy>
  <cp:revision>2</cp:revision>
  <dcterms:created xsi:type="dcterms:W3CDTF">2019-02-12T10:28:00Z</dcterms:created>
  <dcterms:modified xsi:type="dcterms:W3CDTF">2019-02-12T10:28:00Z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0x0101001D33DBDF886836428E5D672B342F8A35</vt:lpwstr>
  </property>
</Properties>
</file>